
<file path=[Content_Types].xml><?xml version="1.0" encoding="utf-8"?>
<Types xmlns="http://schemas.openxmlformats.org/package/2006/content-types">
  <Default Extension="tmp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ACF" w:rsidP="007E0ACF">
      <w:pPr>
        <w:pStyle w:val="Heading1"/>
        <w:rPr>
          <w:rFonts w:eastAsia="Times New Roman"/>
        </w:rPr>
      </w:pPr>
      <w:r>
        <w:rPr>
          <w:rFonts w:eastAsia="Times New Roman"/>
        </w:rPr>
        <w:t>Union VMS - Modules</w:t>
      </w:r>
    </w:p>
    <w:p w:rsidR="00000000" w:rsidRDefault="007E0ACF">
      <w:pPr>
        <w:pStyle w:val="NormalWeb"/>
      </w:pPr>
      <w:r>
        <w:t xml:space="preserve">Those </w:t>
      </w:r>
      <w:proofErr w:type="gramStart"/>
      <w:r>
        <w:t>diagram</w:t>
      </w:r>
      <w:proofErr w:type="gramEnd"/>
      <w:r>
        <w:t xml:space="preserve"> explain the communication between modules and their activity. They are meant to evolve with the progressive replacement of JMS by REST and the development of new functionalities, starting with Subscription.</w:t>
      </w:r>
    </w:p>
    <w:p w:rsidR="00000000" w:rsidRDefault="007E0ACF">
      <w:pPr>
        <w:pStyle w:val="NormalWeb"/>
      </w:pPr>
      <w:r>
        <w:t>Subscription module is used only as skeleton foe the future development, always saying yes to reports or no to queries.</w:t>
      </w:r>
    </w:p>
    <w:p w:rsidR="00000000" w:rsidRDefault="007E0ACF">
      <w:pPr>
        <w:pStyle w:val="Heading1"/>
        <w:rPr>
          <w:rFonts w:eastAsia="Times New Roman"/>
        </w:rPr>
      </w:pPr>
      <w:r>
        <w:rPr>
          <w:rFonts w:eastAsia="Times New Roman"/>
        </w:rPr>
        <w:t>Fishing Activity</w:t>
      </w:r>
    </w:p>
    <w:p w:rsidR="00000000" w:rsidRDefault="007E0ACF">
      <w:pPr>
        <w:pStyle w:val="NormalWeb"/>
      </w:pPr>
      <w:r>
        <w:t>Four activities to develop:</w:t>
      </w:r>
    </w:p>
    <w:p w:rsidR="00000000" w:rsidRDefault="007E0AC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Incoming FA Report → Outgoing FA Response</w:t>
      </w:r>
    </w:p>
    <w:p w:rsidR="00000000" w:rsidRDefault="007E0AC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Incoming FA Response</w:t>
      </w:r>
    </w:p>
    <w:p w:rsidR="00000000" w:rsidRDefault="007E0AC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Incoming FA Report → Outgoin</w:t>
      </w:r>
      <w:r>
        <w:rPr>
          <w:rFonts w:eastAsia="Times New Roman"/>
        </w:rPr>
        <w:t>g FA Report (Subscription)</w:t>
      </w:r>
    </w:p>
    <w:p w:rsidR="00000000" w:rsidRDefault="007E0AC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Incoming FA Query → Outgoing FA Report (Subscription)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0000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000000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7E0A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943600" cy="2700655"/>
                        <wp:effectExtent l="0" t="0" r="0" b="4445"/>
                        <wp:docPr id="1" name="Picture 1" descr="C:\70ff06e9c744aeb57a33c89076cf6e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70ff06e9c744aeb57a33c89076cf6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7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7E0ACF">
            <w:pPr>
              <w:rPr>
                <w:rFonts w:eastAsia="Times New Roman"/>
              </w:rPr>
            </w:pPr>
          </w:p>
        </w:tc>
      </w:tr>
    </w:tbl>
    <w:p w:rsidR="00000000" w:rsidRDefault="007E0ACF">
      <w:pPr>
        <w:pStyle w:val="NormalWeb"/>
      </w:pPr>
      <w:proofErr w:type="spellStart"/>
      <w:r>
        <w:rPr>
          <w:color w:val="000000"/>
        </w:rPr>
        <w:t>Beside</w:t>
      </w:r>
      <w:proofErr w:type="spellEnd"/>
      <w:r>
        <w:rPr>
          <w:color w:val="000000"/>
        </w:rPr>
        <w:t xml:space="preserve"> JSM, SOAP </w:t>
      </w:r>
      <w:proofErr w:type="spellStart"/>
      <w:r>
        <w:rPr>
          <w:color w:val="000000"/>
        </w:rPr>
        <w:t>webservice</w:t>
      </w:r>
      <w:proofErr w:type="spellEnd"/>
      <w:r>
        <w:rPr>
          <w:color w:val="000000"/>
        </w:rPr>
        <w:t xml:space="preserve"> to the TL Bridge can be implemented:</w:t>
      </w:r>
    </w:p>
    <w:p w:rsidR="00000000" w:rsidRDefault="007E0AC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 xml:space="preserve">(1.1) OUTGOING MESSAGE: FMC receives message: FMC must implement BRIDGE-CONNECTOR </w:t>
      </w:r>
      <w:proofErr w:type="spellStart"/>
      <w:r>
        <w:rPr>
          <w:rFonts w:eastAsia="Times New Roman"/>
          <w:color w:val="000000"/>
        </w:rPr>
        <w:t>wsdl</w:t>
      </w:r>
      <w:proofErr w:type="spellEnd"/>
      <w:r>
        <w:rPr>
          <w:rFonts w:eastAsia="Times New Roman"/>
          <w:color w:val="000000"/>
        </w:rPr>
        <w:t xml:space="preserve"> (TL invokes it)</w:t>
      </w:r>
    </w:p>
    <w:p w:rsidR="00000000" w:rsidRDefault="007E0AC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(3.3) TL INCOMING MESSAGE: FMC sends message: </w:t>
      </w:r>
      <w:r>
        <w:rPr>
          <w:rFonts w:eastAsia="Times New Roman"/>
          <w:color w:val="000000"/>
        </w:rPr>
        <w:t xml:space="preserve">FMC must invoke CONNECTOR-BRIDGE </w:t>
      </w:r>
      <w:proofErr w:type="spellStart"/>
      <w:r>
        <w:rPr>
          <w:rFonts w:eastAsia="Times New Roman"/>
          <w:color w:val="000000"/>
        </w:rPr>
        <w:t>wsdl</w:t>
      </w:r>
      <w:proofErr w:type="spellEnd"/>
      <w:r>
        <w:rPr>
          <w:rFonts w:eastAsia="Times New Roman"/>
          <w:color w:val="000000"/>
        </w:rPr>
        <w:t xml:space="preserve"> (TL implements it)</w:t>
      </w:r>
    </w:p>
    <w:tbl>
      <w:tblPr>
        <w:tblW w:w="49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519"/>
        <w:gridCol w:w="1936"/>
        <w:gridCol w:w="1937"/>
        <w:gridCol w:w="1937"/>
      </w:tblGrid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Activity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Queue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Producer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pStyle w:val="mcetaggedb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Consumer</w:t>
            </w:r>
          </w:p>
        </w:tc>
      </w:tr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0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TRANSMIT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0.1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 transfer message to the central node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RECEIVE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 transfer report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pStyle w:val="NormalWeb"/>
            </w:pPr>
            <w:proofErr w:type="spellStart"/>
            <w:r>
              <w:t>UVMSFAPluginEvent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Plugin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Plugin transfer report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UVMSExchangeEvent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Plugin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 logs and transfer report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UVMSRulesEvent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</w:p>
        </w:tc>
      </w:tr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VALIDATE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 enrich report for validation (synchronous)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UVMSMdrEvent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UVMSRules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  <w:r>
              <w:rPr>
                <w:rFonts w:eastAsia="Times New Roman"/>
              </w:rPr>
              <w:br/>
              <w:t>MDR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MDR</w:t>
            </w:r>
            <w:r>
              <w:rPr>
                <w:rFonts w:eastAsia="Times New Roman"/>
              </w:rPr>
              <w:br/>
              <w:t>Rules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 enrich report for validation (synchronous)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UVMSAssetEvent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UVMSRules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  <w:r>
              <w:rPr>
                <w:rFonts w:eastAsia="Times New Roman"/>
              </w:rPr>
              <w:br/>
              <w:t>Asset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Asset</w:t>
            </w:r>
            <w:r>
              <w:rPr>
                <w:rFonts w:eastAsia="Times New Roman"/>
              </w:rPr>
              <w:br/>
              <w:t>Rules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Rules check authorization </w:t>
            </w:r>
            <w:r>
              <w:rPr>
                <w:rFonts w:eastAsia="Times New Roman"/>
              </w:rPr>
              <w:t xml:space="preserve">via Activity </w:t>
            </w:r>
            <w:r>
              <w:rPr>
                <w:rFonts w:eastAsia="Times New Roman"/>
              </w:rPr>
              <w:br/>
              <w:t>(authorization loop)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UVMSActivityEvent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Activity translate message to a subscription (authorization) request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UVMSSubscriptionEvent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Subscription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2.5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pStyle w:val="NormalWeb"/>
            </w:pPr>
            <w:r>
              <w:t xml:space="preserve">Subscription sends authorization response </w:t>
            </w:r>
          </w:p>
          <w:p w:rsidR="00000000" w:rsidRDefault="007E0ACF">
            <w:pPr>
              <w:pStyle w:val="NormalWeb"/>
            </w:pPr>
            <w:r>
              <w:t>On v.1.3.10 Subscription authorization is always true to receive report and false to FA Query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UVMSRules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Subscription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</w:p>
        </w:tc>
      </w:tr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RESPOND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 send response (selector for shared queue)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UVMSExchangeEvent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 logs and transfers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EventBus</w:t>
            </w:r>
            <w:proofErr w:type="spellEnd"/>
            <w:r>
              <w:rPr>
                <w:rFonts w:eastAsia="Times New Roman"/>
              </w:rPr>
              <w:t xml:space="preserve"> (topic)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Plugin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pStyle w:val="NormalWeb"/>
            </w:pPr>
            <w:r>
              <w:t>Plugin transfer report</w:t>
            </w:r>
          </w:p>
          <w:p w:rsidR="00000000" w:rsidRDefault="007E0ACF">
            <w:pPr>
              <w:pStyle w:val="NormalWeb"/>
            </w:pPr>
            <w:r>
              <w:t>Sync response with ON value (not handle!)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UVMSPluginBridge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Plugin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</w:t>
            </w:r>
          </w:p>
        </w:tc>
      </w:tr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SAVE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 send for persistence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UVMSActivityEvent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 enrichment (synchronous)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UVMSAssetEvent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UVMSActivity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  <w:r>
              <w:rPr>
                <w:rFonts w:eastAsia="Times New Roman"/>
              </w:rPr>
              <w:br/>
              <w:t>Asset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Asset</w:t>
            </w:r>
            <w:r>
              <w:rPr>
                <w:rFonts w:eastAsia="Times New Roman"/>
              </w:rPr>
              <w:br/>
              <w:t>Activity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 enrichment (synchronous)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UVMSSpatialEvent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UVMSActivity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  <w:r>
              <w:rPr>
                <w:rFonts w:eastAsia="Times New Roman"/>
              </w:rPr>
              <w:br/>
              <w:t>Spatial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Spatial</w:t>
            </w:r>
            <w:r>
              <w:rPr>
                <w:rFonts w:eastAsia="Times New Roman"/>
              </w:rPr>
              <w:br/>
              <w:t>Activity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 enrichment (synchronous)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UVMSMovementEvent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UVMSActivity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  <w:r>
              <w:rPr>
                <w:rFonts w:eastAsia="Times New Roman"/>
              </w:rPr>
              <w:br/>
              <w:t>Movement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</w:t>
            </w:r>
            <w:r>
              <w:rPr>
                <w:rFonts w:eastAsia="Times New Roman"/>
              </w:rPr>
              <w:br/>
              <w:t>Activity</w:t>
            </w: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4.5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 send error (if any) for logging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UVMSExchangeEvent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</w:t>
            </w:r>
          </w:p>
        </w:tc>
      </w:tr>
      <w:tr w:rsidR="00000000" w:rsidTr="007E0ACF">
        <w:trPr>
          <w:divId w:val="1056077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TRANSMIT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node transfer response back to the MS node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1056077890"/>
          <w:cantSplit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node transfer MS response to Plugin (status code)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</w:tbl>
    <w:p w:rsidR="00000000" w:rsidRDefault="007E0ACF">
      <w:pPr>
        <w:pStyle w:val="Heading1"/>
        <w:rPr>
          <w:rFonts w:eastAsia="Times New Roman"/>
        </w:rPr>
      </w:pPr>
      <w:r>
        <w:rPr>
          <w:rFonts w:eastAsia="Times New Roman"/>
        </w:rPr>
        <w:t>Movement</w:t>
      </w:r>
    </w:p>
    <w:p w:rsidR="00000000" w:rsidRDefault="007E0ACF">
      <w:pPr>
        <w:pStyle w:val="NormalWeb"/>
        <w:divId w:val="409549252"/>
      </w:pPr>
      <w:r>
        <w:t>This diagram will be updated once the new movement module is ready (end of 2018)</w:t>
      </w:r>
    </w:p>
    <w:p w:rsidR="00000000" w:rsidRDefault="007E0ACF">
      <w:pPr>
        <w:pStyle w:val="NormalWeb"/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0000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000000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7E0A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943600" cy="2987675"/>
                        <wp:effectExtent l="0" t="0" r="0" b="3175"/>
                        <wp:docPr id="2" name="Picture 2" descr="C:\cfa532c51c05344d280d02f9e947aa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cfa532c51c05344d280d02f9e947aa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98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7E0ACF">
            <w:pPr>
              <w:rPr>
                <w:rFonts w:eastAsia="Times New Roman"/>
              </w:rPr>
            </w:pPr>
          </w:p>
        </w:tc>
      </w:tr>
    </w:tbl>
    <w:p w:rsidR="007E0ACF" w:rsidRDefault="007E0ACF" w:rsidP="007E0ACF">
      <w:pPr>
        <w:pStyle w:val="Heading2"/>
        <w:rPr>
          <w:rFonts w:eastAsia="Times New Roman"/>
        </w:rPr>
      </w:pPr>
    </w:p>
    <w:p w:rsidR="007E0ACF" w:rsidRDefault="007E0ACF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7E0ACF" w:rsidP="007E0ACF">
      <w:pPr>
        <w:pStyle w:val="Heading2"/>
        <w:rPr>
          <w:rFonts w:eastAsia="Times New Roman"/>
        </w:rPr>
      </w:pPr>
      <w:r>
        <w:rPr>
          <w:rFonts w:eastAsia="Times New Roman"/>
        </w:rPr>
        <w:t>New movement </w:t>
      </w:r>
    </w:p>
    <w:p w:rsidR="00000000" w:rsidRDefault="007E0ACF">
      <w:pPr>
        <w:pStyle w:val="NormalWeb"/>
      </w:pPr>
    </w:p>
    <w:p w:rsidR="00000000" w:rsidRDefault="007E0ACF">
      <w:pPr>
        <w:pStyle w:val="NormalWeb"/>
      </w:pPr>
      <w:r>
        <w:rPr>
          <w:noProof/>
        </w:rPr>
        <w:drawing>
          <wp:inline distT="0" distB="0" distL="0" distR="0">
            <wp:extent cx="5943600" cy="3902075"/>
            <wp:effectExtent l="0" t="0" r="0" b="3175"/>
            <wp:docPr id="3" name="Picture 3" descr="C:\fd83cb18b6811331f981db510a2c9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d83cb18b6811331f981db510a2c9c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0AC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messages passing from Exchange and in the system are now asynchronous.</w:t>
      </w:r>
    </w:p>
    <w:p w:rsidR="00000000" w:rsidRDefault="007E0AC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Movement Module now works with message groups (this means that we do parallel work on incoming positions, grouped by vessel</w:t>
      </w:r>
      <w:r>
        <w:rPr>
          <w:rFonts w:eastAsia="Times New Roman"/>
        </w:rPr>
        <w:t>s).</w:t>
      </w:r>
    </w:p>
    <w:p w:rsidR="00000000" w:rsidRDefault="007E0ACF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The retry/resend mechanism is using standard JMS settings and if for some reason something goes wrong these messages will end up the DLQ (Dead Letter Queue).</w:t>
      </w:r>
    </w:p>
    <w:tbl>
      <w:tblPr>
        <w:tblW w:w="47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726"/>
        <w:gridCol w:w="1748"/>
        <w:gridCol w:w="1749"/>
        <w:gridCol w:w="1749"/>
      </w:tblGrid>
      <w:tr w:rsidR="00000000" w:rsidTr="007E0ACF">
        <w:trPr>
          <w:divId w:val="319237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Activity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Queue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Producer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Consumer</w:t>
            </w:r>
          </w:p>
        </w:tc>
      </w:tr>
      <w:tr w:rsidR="00000000" w:rsidTr="007E0ACF">
        <w:trPr>
          <w:divId w:val="319237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RECEIVE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1.1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 transfer position message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Plugin transfer position message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Exchange logs and transfer positions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VALIDATE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2.1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 Rules enrich positions for validation (synchronous)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 enrich positions (synchronous)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 enrich positions (synchronous)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2.4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RESPOND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3.1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 Rules send the response to Exchange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  <w:tr w:rsidR="00000000" w:rsidTr="007E0ACF">
        <w:trPr>
          <w:divId w:val="319237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3'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SAVE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 w:rsidTr="007E0ACF">
        <w:trPr>
          <w:divId w:val="31923755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Movement Rules send the validated movement for persistence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ACF">
            <w:pPr>
              <w:rPr>
                <w:rFonts w:eastAsia="Times New Roman"/>
              </w:rPr>
            </w:pPr>
          </w:p>
        </w:tc>
      </w:tr>
    </w:tbl>
    <w:p w:rsidR="00000000" w:rsidRDefault="007E0ACF">
      <w:pPr>
        <w:divId w:val="166292277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4pt" o:ole="">
            <v:imagedata r:id="rId9" o:title=""/>
          </v:shape>
          <w:control r:id="rId10" w:name="DefaultOcxName" w:shapeid="_x0000_i1037"/>
        </w:object>
      </w:r>
      <w:r>
        <w:rPr>
          <w:rFonts w:eastAsia="Times New Roman"/>
        </w:rPr>
        <w:object w:dxaOrig="1440" w:dyaOrig="1440">
          <v:shape id="_x0000_i1040" type="#_x0000_t75" style="width:1in;height:18.4pt" o:ole="">
            <v:imagedata r:id="rId11" o:title=""/>
          </v:shape>
          <w:control r:id="rId12" w:name="DefaultOcxName1" w:shapeid="_x0000_i1040"/>
        </w:object>
      </w:r>
      <w:r>
        <w:rPr>
          <w:rFonts w:eastAsia="Times New Roman"/>
        </w:rPr>
        <w:object w:dxaOrig="1440" w:dyaOrig="1440">
          <v:shape id="_x0000_i1043" type="#_x0000_t75" style="width:1in;height:18.4pt" o:ole="">
            <v:imagedata r:id="rId13" o:title=""/>
          </v:shape>
          <w:control r:id="rId14" w:name="DefaultOcxName2" w:shapeid="_x0000_i1043"/>
        </w:object>
      </w:r>
    </w:p>
    <w:sectPr w:rsidR="00000000" w:rsidSect="007E0AC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2DC0"/>
    <w:multiLevelType w:val="multilevel"/>
    <w:tmpl w:val="ADBC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630B6"/>
    <w:multiLevelType w:val="multilevel"/>
    <w:tmpl w:val="EF9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42A3"/>
    <w:multiLevelType w:val="multilevel"/>
    <w:tmpl w:val="2E1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A1443"/>
    <w:multiLevelType w:val="multilevel"/>
    <w:tmpl w:val="DFA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0270C"/>
    <w:multiLevelType w:val="multilevel"/>
    <w:tmpl w:val="837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2C17"/>
    <w:multiLevelType w:val="multilevel"/>
    <w:tmpl w:val="73BA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32BA1"/>
    <w:multiLevelType w:val="multilevel"/>
    <w:tmpl w:val="163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A01B6"/>
    <w:multiLevelType w:val="multilevel"/>
    <w:tmpl w:val="81F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200CB"/>
    <w:multiLevelType w:val="multilevel"/>
    <w:tmpl w:val="3FC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0ACF"/>
    <w:rsid w:val="007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mcetaggedbr">
    <w:name w:val="_mce_tagged_br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fluence-embedded-file-wrapper">
    <w:name w:val="confluence-embedded-file-wrapp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propersortedby">
    <w:name w:val="propersortedby"/>
    <w:basedOn w:val="DefaultParagraphFont"/>
  </w:style>
  <w:style w:type="character" w:customStyle="1" w:styleId="icon">
    <w:name w:val="icon"/>
    <w:basedOn w:val="DefaultParagraphFont"/>
  </w:style>
  <w:style w:type="paragraph" w:customStyle="1" w:styleId="attachment-labels">
    <w:name w:val="attachment-labels"/>
    <w:basedOn w:val="Normal"/>
    <w:pPr>
      <w:spacing w:before="100" w:beforeAutospacing="1" w:after="100" w:afterAutospacing="1"/>
    </w:pPr>
  </w:style>
  <w:style w:type="character" w:customStyle="1" w:styleId="attachment-comment">
    <w:name w:val="attachment-comment"/>
    <w:basedOn w:val="DefaultParagraphFont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mcetaggedbr">
    <w:name w:val="_mce_tagged_br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fluence-embedded-file-wrapper">
    <w:name w:val="confluence-embedded-file-wrapp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propersortedby">
    <w:name w:val="propersortedby"/>
    <w:basedOn w:val="DefaultParagraphFont"/>
  </w:style>
  <w:style w:type="character" w:customStyle="1" w:styleId="icon">
    <w:name w:val="icon"/>
    <w:basedOn w:val="DefaultParagraphFont"/>
  </w:style>
  <w:style w:type="paragraph" w:customStyle="1" w:styleId="attachment-labels">
    <w:name w:val="attachment-labels"/>
    <w:basedOn w:val="Normal"/>
    <w:pPr>
      <w:spacing w:before="100" w:beforeAutospacing="1" w:after="100" w:afterAutospacing="1"/>
    </w:pPr>
  </w:style>
  <w:style w:type="character" w:customStyle="1" w:styleId="attachment-comment">
    <w:name w:val="attachment-comment"/>
    <w:basedOn w:val="DefaultParagraphFont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VMS - Modules</vt:lpstr>
    </vt:vector>
  </TitlesOfParts>
  <Company>European Commission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VMS - Modules</dc:title>
  <dc:creator>DENIS Sebastien (MARE-EXT)</dc:creator>
  <cp:lastModifiedBy>DENIS Sebastien (MARE-EXT)</cp:lastModifiedBy>
  <cp:revision>2</cp:revision>
  <dcterms:created xsi:type="dcterms:W3CDTF">2019-04-09T13:49:00Z</dcterms:created>
  <dcterms:modified xsi:type="dcterms:W3CDTF">2019-04-09T13:49:00Z</dcterms:modified>
</cp:coreProperties>
</file>